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BABB" w14:textId="3533C25F" w:rsidR="008B036D" w:rsidRDefault="002927C2" w:rsidP="008B036D">
      <w:pPr>
        <w:jc w:val="center"/>
        <w:rPr>
          <w:sz w:val="96"/>
          <w:szCs w:val="96"/>
        </w:rPr>
      </w:pPr>
      <w:r>
        <w:rPr>
          <w:sz w:val="96"/>
          <w:szCs w:val="96"/>
        </w:rPr>
        <w:t>Barkham</w:t>
      </w:r>
      <w:r w:rsidR="008B036D" w:rsidRPr="008B036D">
        <w:rPr>
          <w:sz w:val="96"/>
          <w:szCs w:val="96"/>
        </w:rPr>
        <w:t xml:space="preserve"> Parish Council</w:t>
      </w:r>
    </w:p>
    <w:p w14:paraId="1DB47BBF" w14:textId="77777777" w:rsidR="002927C2" w:rsidRPr="002927C2" w:rsidRDefault="002927C2" w:rsidP="008B036D">
      <w:pPr>
        <w:jc w:val="center"/>
        <w:rPr>
          <w:sz w:val="36"/>
          <w:szCs w:val="36"/>
        </w:rPr>
      </w:pPr>
    </w:p>
    <w:p w14:paraId="44E9A6D6" w14:textId="0391E0BE" w:rsidR="008B036D" w:rsidRDefault="002927C2" w:rsidP="008B036D">
      <w:pPr>
        <w:jc w:val="center"/>
        <w:rPr>
          <w:sz w:val="36"/>
          <w:szCs w:val="36"/>
        </w:rPr>
      </w:pPr>
      <w:r>
        <w:rPr>
          <w:noProof/>
          <w:sz w:val="36"/>
          <w:szCs w:val="36"/>
        </w:rPr>
        <w:drawing>
          <wp:inline distT="0" distB="0" distL="0" distR="0" wp14:anchorId="0E67914C" wp14:editId="484FB732">
            <wp:extent cx="3020695" cy="30133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710" cy="3014387"/>
                    </a:xfrm>
                    <a:prstGeom prst="rect">
                      <a:avLst/>
                    </a:prstGeom>
                  </pic:spPr>
                </pic:pic>
              </a:graphicData>
            </a:graphic>
          </wp:inline>
        </w:drawing>
      </w:r>
    </w:p>
    <w:p w14:paraId="103D26FA" w14:textId="77777777" w:rsidR="008B036D" w:rsidRDefault="008B036D" w:rsidP="008B036D">
      <w:pPr>
        <w:jc w:val="center"/>
        <w:rPr>
          <w:sz w:val="36"/>
          <w:szCs w:val="36"/>
        </w:rPr>
      </w:pPr>
    </w:p>
    <w:p w14:paraId="4AC5C10B" w14:textId="624D19AA" w:rsidR="002B7C7F" w:rsidRDefault="00113A16" w:rsidP="008B036D">
      <w:pPr>
        <w:jc w:val="center"/>
        <w:rPr>
          <w:sz w:val="72"/>
          <w:szCs w:val="72"/>
        </w:rPr>
      </w:pPr>
      <w:r>
        <w:rPr>
          <w:sz w:val="72"/>
          <w:szCs w:val="72"/>
        </w:rPr>
        <w:t>Investment Strategy</w:t>
      </w:r>
    </w:p>
    <w:p w14:paraId="42DE679F" w14:textId="2DDA3B15" w:rsidR="00113A16" w:rsidRDefault="008D2665" w:rsidP="008B036D">
      <w:pPr>
        <w:jc w:val="center"/>
        <w:rPr>
          <w:sz w:val="72"/>
          <w:szCs w:val="72"/>
        </w:rPr>
      </w:pPr>
      <w:r>
        <w:rPr>
          <w:sz w:val="72"/>
          <w:szCs w:val="72"/>
        </w:rPr>
        <w:t>2022</w:t>
      </w:r>
      <w:r w:rsidR="0001308B">
        <w:rPr>
          <w:sz w:val="72"/>
          <w:szCs w:val="72"/>
        </w:rPr>
        <w:t>-</w:t>
      </w:r>
      <w:r>
        <w:rPr>
          <w:sz w:val="72"/>
          <w:szCs w:val="72"/>
        </w:rPr>
        <w:t>23</w:t>
      </w:r>
    </w:p>
    <w:p w14:paraId="1161F110" w14:textId="484A43F3" w:rsidR="00677FBB" w:rsidRPr="00291650" w:rsidRDefault="00291650" w:rsidP="008B036D">
      <w:pPr>
        <w:jc w:val="center"/>
        <w:rPr>
          <w:sz w:val="40"/>
          <w:szCs w:val="40"/>
        </w:rPr>
      </w:pPr>
      <w:r w:rsidRPr="00291650">
        <w:rPr>
          <w:sz w:val="40"/>
          <w:szCs w:val="40"/>
        </w:rPr>
        <w:t>V1.</w:t>
      </w:r>
      <w:r w:rsidR="002927C2">
        <w:rPr>
          <w:sz w:val="40"/>
          <w:szCs w:val="40"/>
        </w:rPr>
        <w:t>0</w:t>
      </w:r>
    </w:p>
    <w:p w14:paraId="28DDE34A" w14:textId="63654BC6" w:rsidR="008B036D" w:rsidRDefault="008B036D" w:rsidP="008B036D">
      <w:pPr>
        <w:jc w:val="center"/>
        <w:rPr>
          <w:sz w:val="36"/>
          <w:szCs w:val="36"/>
        </w:rPr>
      </w:pPr>
    </w:p>
    <w:p w14:paraId="4018DD1F" w14:textId="14E7C136" w:rsidR="008B036D" w:rsidRDefault="008B036D" w:rsidP="008B036D">
      <w:pPr>
        <w:jc w:val="center"/>
        <w:rPr>
          <w:sz w:val="36"/>
          <w:szCs w:val="36"/>
        </w:rPr>
      </w:pPr>
    </w:p>
    <w:p w14:paraId="19EBEB05" w14:textId="0AA3CD5A" w:rsidR="008B036D" w:rsidRDefault="008B036D" w:rsidP="008B036D">
      <w:pPr>
        <w:jc w:val="center"/>
        <w:rPr>
          <w:sz w:val="36"/>
          <w:szCs w:val="36"/>
        </w:rPr>
      </w:pPr>
    </w:p>
    <w:p w14:paraId="29061AAA" w14:textId="77777777" w:rsidR="00702714" w:rsidRPr="00702714" w:rsidRDefault="00702714" w:rsidP="00702714">
      <w:pPr>
        <w:pStyle w:val="Heading2"/>
      </w:pPr>
      <w:r w:rsidRPr="00702714">
        <w:lastRenderedPageBreak/>
        <w:t xml:space="preserve">Introduction </w:t>
      </w:r>
    </w:p>
    <w:p w14:paraId="42DA6D39" w14:textId="32B33EAF"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1. </w:t>
      </w:r>
      <w:r>
        <w:rPr>
          <w:rFonts w:cstheme="minorHAnsi"/>
          <w:sz w:val="24"/>
          <w:szCs w:val="24"/>
        </w:rPr>
        <w:tab/>
      </w:r>
      <w:r w:rsidRPr="00702714">
        <w:rPr>
          <w:rFonts w:cstheme="minorHAnsi"/>
          <w:sz w:val="24"/>
          <w:szCs w:val="24"/>
        </w:rPr>
        <w:t xml:space="preserve">The investment of surplus funds by local authorities is governed by the Local Government Act 2003, section 15 (1) (a) and Guidance issued by the Secretary of State under that Act. </w:t>
      </w:r>
    </w:p>
    <w:p w14:paraId="666C23AE" w14:textId="77777777" w:rsid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6451A892" w14:textId="1005F33B" w:rsidR="00BE3865" w:rsidRDefault="00702714" w:rsidP="007E2EA7">
      <w:pPr>
        <w:spacing w:line="240" w:lineRule="auto"/>
        <w:ind w:left="720" w:hanging="720"/>
        <w:rPr>
          <w:rFonts w:cstheme="minorHAnsi"/>
          <w:sz w:val="24"/>
          <w:szCs w:val="24"/>
        </w:rPr>
      </w:pPr>
      <w:r w:rsidRPr="00702714">
        <w:rPr>
          <w:rFonts w:cstheme="minorHAnsi"/>
          <w:sz w:val="24"/>
          <w:szCs w:val="24"/>
        </w:rPr>
        <w:t xml:space="preserve">2. </w:t>
      </w:r>
      <w:r>
        <w:rPr>
          <w:rFonts w:cstheme="minorHAnsi"/>
          <w:sz w:val="24"/>
          <w:szCs w:val="24"/>
        </w:rPr>
        <w:tab/>
      </w:r>
      <w:r w:rsidR="00BE3865" w:rsidRPr="00BE3865">
        <w:rPr>
          <w:rFonts w:cstheme="minorHAnsi"/>
          <w:sz w:val="24"/>
          <w:szCs w:val="24"/>
        </w:rPr>
        <w:t xml:space="preserve">The Guidance states: </w:t>
      </w:r>
    </w:p>
    <w:p w14:paraId="4CAAB425" w14:textId="77777777" w:rsidR="00CF72D6" w:rsidRDefault="00BE3865" w:rsidP="007E2EA7">
      <w:pPr>
        <w:spacing w:line="240" w:lineRule="auto"/>
        <w:ind w:left="720"/>
        <w:rPr>
          <w:rFonts w:cstheme="minorHAnsi"/>
          <w:sz w:val="24"/>
          <w:szCs w:val="24"/>
        </w:rPr>
      </w:pPr>
      <w:r w:rsidRPr="00BE3865">
        <w:rPr>
          <w:rFonts w:cstheme="minorHAnsi"/>
          <w:sz w:val="24"/>
          <w:szCs w:val="24"/>
        </w:rPr>
        <w:t>a) Where a town or parish council expects its investments at any time during a financial year to exceed £100,000, the Guidance should apply in relation to that year.</w:t>
      </w:r>
    </w:p>
    <w:p w14:paraId="084FCC94" w14:textId="547D66EF" w:rsidR="00BE3865" w:rsidRDefault="00BE3865" w:rsidP="007E2EA7">
      <w:pPr>
        <w:spacing w:line="240" w:lineRule="auto"/>
        <w:ind w:left="720"/>
        <w:rPr>
          <w:rFonts w:cstheme="minorHAnsi"/>
          <w:sz w:val="24"/>
          <w:szCs w:val="24"/>
        </w:rPr>
      </w:pPr>
      <w:r w:rsidRPr="00BE3865">
        <w:rPr>
          <w:rFonts w:cstheme="minorHAnsi"/>
          <w:sz w:val="24"/>
          <w:szCs w:val="24"/>
        </w:rPr>
        <w:t xml:space="preserve">b) Where a town or parish council expects its investments at any time during a financial year to exceed £10,000 but not £100,000, it should decide on the extent, if any, to which it would be reasonable to have regard to the Guidance in relation to that year. </w:t>
      </w:r>
    </w:p>
    <w:p w14:paraId="22E2BCF4" w14:textId="1D883C15" w:rsidR="00702714" w:rsidRDefault="00BE3865" w:rsidP="007E2EA7">
      <w:pPr>
        <w:spacing w:after="0" w:line="240" w:lineRule="auto"/>
        <w:ind w:left="720"/>
        <w:rPr>
          <w:rFonts w:cstheme="minorHAnsi"/>
          <w:sz w:val="24"/>
          <w:szCs w:val="24"/>
        </w:rPr>
      </w:pPr>
      <w:r w:rsidRPr="00BE3865">
        <w:rPr>
          <w:rFonts w:cstheme="minorHAnsi"/>
          <w:sz w:val="24"/>
          <w:szCs w:val="24"/>
        </w:rPr>
        <w:t xml:space="preserve">c) Where a town or parish council expects its investments at any time during a financial year not to exceed £10,000, no part of the Guidance need be treated as applying in relation to that year. </w:t>
      </w:r>
      <w:r w:rsidR="00702714" w:rsidRPr="00702714">
        <w:rPr>
          <w:rFonts w:cstheme="minorHAnsi"/>
          <w:sz w:val="24"/>
          <w:szCs w:val="24"/>
        </w:rPr>
        <w:t xml:space="preserve"> </w:t>
      </w:r>
    </w:p>
    <w:p w14:paraId="12C38A13" w14:textId="77777777" w:rsidR="00CF72D6" w:rsidRPr="00702714" w:rsidRDefault="00CF72D6" w:rsidP="00CF72D6">
      <w:pPr>
        <w:spacing w:after="0" w:line="240" w:lineRule="auto"/>
        <w:rPr>
          <w:rFonts w:cstheme="minorHAnsi"/>
          <w:sz w:val="24"/>
          <w:szCs w:val="24"/>
        </w:rPr>
      </w:pPr>
    </w:p>
    <w:p w14:paraId="6F77B49B" w14:textId="1613EC1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3. </w:t>
      </w:r>
      <w:r>
        <w:rPr>
          <w:rFonts w:cstheme="minorHAnsi"/>
          <w:sz w:val="24"/>
          <w:szCs w:val="24"/>
        </w:rPr>
        <w:tab/>
      </w:r>
      <w:r w:rsidRPr="00702714">
        <w:rPr>
          <w:rFonts w:cstheme="minorHAnsi"/>
          <w:sz w:val="24"/>
          <w:szCs w:val="24"/>
        </w:rPr>
        <w:t xml:space="preserve">The Guidance recommends that a council produces an Annual Investment Strategy which sets out its policy for managing the investments and giving priority to the liquidity and security. </w:t>
      </w:r>
    </w:p>
    <w:p w14:paraId="5E588196"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04704B43" w14:textId="1554EB93"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4. </w:t>
      </w:r>
      <w:r>
        <w:rPr>
          <w:rFonts w:cstheme="minorHAnsi"/>
          <w:sz w:val="24"/>
          <w:szCs w:val="24"/>
        </w:rPr>
        <w:tab/>
      </w:r>
      <w:r w:rsidRPr="00702714">
        <w:rPr>
          <w:rFonts w:cstheme="minorHAnsi"/>
          <w:sz w:val="24"/>
          <w:szCs w:val="24"/>
        </w:rPr>
        <w:t xml:space="preserve">A ‘Specified Investment’ is one which is made in sterling, is not long term (less than 12 months) not defined as capital expenditure and is placed with a body which has a high credit rating or made with the UK Government, a UK Local Authority or a parish or community council. </w:t>
      </w:r>
    </w:p>
    <w:p w14:paraId="6303EECD"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28ED27C9" w14:textId="49958F86" w:rsid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5. </w:t>
      </w:r>
      <w:r>
        <w:rPr>
          <w:rFonts w:cstheme="minorHAnsi"/>
          <w:sz w:val="24"/>
          <w:szCs w:val="24"/>
        </w:rPr>
        <w:tab/>
      </w:r>
      <w:r w:rsidRPr="00702714">
        <w:rPr>
          <w:rFonts w:cstheme="minorHAnsi"/>
          <w:sz w:val="24"/>
          <w:szCs w:val="24"/>
        </w:rPr>
        <w:t xml:space="preserve">Any other type of investment is considered ‘Non-Specific’ to which there can be a greater risk and where professional investment advice might be required. </w:t>
      </w:r>
    </w:p>
    <w:p w14:paraId="09AFF621" w14:textId="77777777" w:rsidR="00BE3865" w:rsidRPr="00702714" w:rsidRDefault="00BE3865" w:rsidP="00702714">
      <w:pPr>
        <w:spacing w:after="0" w:line="240" w:lineRule="auto"/>
        <w:ind w:left="720" w:hanging="720"/>
        <w:rPr>
          <w:rFonts w:cstheme="minorHAnsi"/>
          <w:sz w:val="24"/>
          <w:szCs w:val="24"/>
        </w:rPr>
      </w:pPr>
    </w:p>
    <w:p w14:paraId="2D1C006B"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2648DDC4" w14:textId="77777777" w:rsidR="00702714" w:rsidRPr="00702714" w:rsidRDefault="00702714" w:rsidP="00702714">
      <w:pPr>
        <w:pStyle w:val="Heading2"/>
      </w:pPr>
      <w:r w:rsidRPr="00702714">
        <w:t xml:space="preserve">Strategy </w:t>
      </w:r>
    </w:p>
    <w:p w14:paraId="7A119EFC" w14:textId="7F1B4539" w:rsidR="00702714" w:rsidRPr="00702714" w:rsidRDefault="00430CA2" w:rsidP="00950902">
      <w:pPr>
        <w:spacing w:after="0" w:line="240" w:lineRule="auto"/>
        <w:rPr>
          <w:rFonts w:cstheme="minorHAnsi"/>
          <w:sz w:val="24"/>
          <w:szCs w:val="24"/>
        </w:rPr>
      </w:pPr>
      <w:r>
        <w:rPr>
          <w:rFonts w:cstheme="minorHAnsi"/>
          <w:sz w:val="24"/>
          <w:szCs w:val="24"/>
        </w:rPr>
        <w:t>Barkham</w:t>
      </w:r>
      <w:r w:rsidR="00702714" w:rsidRPr="00702714">
        <w:rPr>
          <w:rFonts w:cstheme="minorHAnsi"/>
          <w:sz w:val="24"/>
          <w:szCs w:val="24"/>
        </w:rPr>
        <w:t xml:space="preserve"> Parish Council acknowledges the importance of prudent investment</w:t>
      </w:r>
      <w:r w:rsidR="00950902">
        <w:rPr>
          <w:rFonts w:cstheme="minorHAnsi"/>
          <w:sz w:val="24"/>
          <w:szCs w:val="24"/>
        </w:rPr>
        <w:t xml:space="preserve"> </w:t>
      </w:r>
      <w:r w:rsidR="00702714" w:rsidRPr="00702714">
        <w:rPr>
          <w:rFonts w:cstheme="minorHAnsi"/>
          <w:sz w:val="24"/>
          <w:szCs w:val="24"/>
        </w:rPr>
        <w:t xml:space="preserve">whether temporary or longer term, of any surplus funds held on behalf of the community. </w:t>
      </w:r>
    </w:p>
    <w:p w14:paraId="110D2BC7"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41551915" w14:textId="2CA2CEE0"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6. </w:t>
      </w:r>
      <w:r>
        <w:rPr>
          <w:rFonts w:cstheme="minorHAnsi"/>
          <w:sz w:val="24"/>
          <w:szCs w:val="24"/>
        </w:rPr>
        <w:tab/>
      </w:r>
      <w:r w:rsidRPr="00702714">
        <w:rPr>
          <w:rFonts w:cstheme="minorHAnsi"/>
          <w:sz w:val="24"/>
          <w:szCs w:val="24"/>
        </w:rPr>
        <w:t xml:space="preserve">In accordance with Section 15 (1) of the Local Government Act 2003, </w:t>
      </w:r>
      <w:r w:rsidR="00430CA2">
        <w:rPr>
          <w:rFonts w:cstheme="minorHAnsi"/>
          <w:sz w:val="24"/>
          <w:szCs w:val="24"/>
        </w:rPr>
        <w:t>Barkham</w:t>
      </w:r>
      <w:r w:rsidRPr="00702714">
        <w:rPr>
          <w:rFonts w:cstheme="minorHAnsi"/>
          <w:sz w:val="24"/>
          <w:szCs w:val="24"/>
        </w:rPr>
        <w:t xml:space="preserve"> Parish Council will have regard to: </w:t>
      </w:r>
    </w:p>
    <w:p w14:paraId="78AFFF69"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12E6559C" w14:textId="77777777" w:rsidR="00702714" w:rsidRPr="00702714" w:rsidRDefault="00702714" w:rsidP="00702714">
      <w:pPr>
        <w:spacing w:after="0" w:line="240" w:lineRule="auto"/>
        <w:ind w:left="720"/>
        <w:rPr>
          <w:rFonts w:cstheme="minorHAnsi"/>
          <w:sz w:val="24"/>
          <w:szCs w:val="24"/>
        </w:rPr>
      </w:pPr>
      <w:r w:rsidRPr="00702714">
        <w:rPr>
          <w:rFonts w:cstheme="minorHAnsi"/>
          <w:sz w:val="24"/>
          <w:szCs w:val="24"/>
        </w:rPr>
        <w:t xml:space="preserve"> (a) the Secretary of State’s Guidance in relation to council investments; and  </w:t>
      </w:r>
    </w:p>
    <w:p w14:paraId="296EFBE5"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21C238D7" w14:textId="77777777" w:rsidR="00702714" w:rsidRPr="00702714" w:rsidRDefault="00702714" w:rsidP="00702714">
      <w:pPr>
        <w:spacing w:after="0" w:line="240" w:lineRule="auto"/>
        <w:ind w:left="720"/>
        <w:rPr>
          <w:rFonts w:cstheme="minorHAnsi"/>
          <w:sz w:val="24"/>
          <w:szCs w:val="24"/>
        </w:rPr>
      </w:pPr>
      <w:r w:rsidRPr="00702714">
        <w:rPr>
          <w:rFonts w:cstheme="minorHAnsi"/>
          <w:sz w:val="24"/>
          <w:szCs w:val="24"/>
        </w:rPr>
        <w:t xml:space="preserve"> (b) other such guidance as the Secretary of State may by regulation specify. </w:t>
      </w:r>
    </w:p>
    <w:p w14:paraId="330B4FDF"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72440F9C" w14:textId="0CE650A5" w:rsidR="005A3828" w:rsidRPr="00F712CB" w:rsidRDefault="00702714" w:rsidP="00F712CB">
      <w:pPr>
        <w:spacing w:after="0" w:line="240" w:lineRule="auto"/>
        <w:ind w:left="720" w:hanging="720"/>
      </w:pPr>
      <w:r w:rsidRPr="00702714">
        <w:rPr>
          <w:rFonts w:cstheme="minorHAnsi"/>
          <w:sz w:val="24"/>
          <w:szCs w:val="24"/>
        </w:rPr>
        <w:t xml:space="preserve">7. </w:t>
      </w:r>
      <w:r>
        <w:rPr>
          <w:rFonts w:cstheme="minorHAnsi"/>
          <w:sz w:val="24"/>
          <w:szCs w:val="24"/>
        </w:rPr>
        <w:tab/>
      </w:r>
      <w:r w:rsidR="005A3828" w:rsidRPr="00F712CB">
        <w:t xml:space="preserve">Barkham Parish Council will adopt a </w:t>
      </w:r>
      <w:r w:rsidR="00F712CB" w:rsidRPr="00F712CB">
        <w:t>low-risk</w:t>
      </w:r>
      <w:r w:rsidR="005A3828" w:rsidRPr="00F712CB">
        <w:t xml:space="preserve"> investment strategy to maintain liquidity of it reserves (keeping the money readily available for expenditure when needed) whilst, where possible, securing and protecting the capital sum from loss.</w:t>
      </w:r>
    </w:p>
    <w:p w14:paraId="0E8CF8AB" w14:textId="3817D24D" w:rsidR="005A3828" w:rsidRPr="00702714" w:rsidRDefault="005A3828" w:rsidP="00702714">
      <w:pPr>
        <w:spacing w:after="0" w:line="240" w:lineRule="auto"/>
        <w:ind w:left="720" w:hanging="720"/>
        <w:rPr>
          <w:rFonts w:cstheme="minorHAnsi"/>
          <w:sz w:val="24"/>
          <w:szCs w:val="24"/>
        </w:rPr>
      </w:pPr>
    </w:p>
    <w:p w14:paraId="34D873EF"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273D0725" w14:textId="148D85BE" w:rsidR="00584CA0" w:rsidRDefault="00702714" w:rsidP="00702714">
      <w:pPr>
        <w:spacing w:after="0" w:line="240" w:lineRule="auto"/>
        <w:ind w:left="720" w:hanging="720"/>
        <w:rPr>
          <w:rFonts w:cstheme="minorHAnsi"/>
          <w:sz w:val="24"/>
          <w:szCs w:val="24"/>
        </w:rPr>
      </w:pPr>
      <w:r w:rsidRPr="00702714">
        <w:rPr>
          <w:rFonts w:cstheme="minorHAnsi"/>
          <w:sz w:val="24"/>
          <w:szCs w:val="24"/>
        </w:rPr>
        <w:lastRenderedPageBreak/>
        <w:t xml:space="preserve">8. </w:t>
      </w:r>
      <w:r>
        <w:rPr>
          <w:rFonts w:cstheme="minorHAnsi"/>
          <w:sz w:val="24"/>
          <w:szCs w:val="24"/>
        </w:rPr>
        <w:tab/>
      </w:r>
      <w:r w:rsidRPr="00702714">
        <w:rPr>
          <w:rFonts w:cstheme="minorHAnsi"/>
          <w:sz w:val="24"/>
          <w:szCs w:val="24"/>
        </w:rPr>
        <w:t xml:space="preserve">Short term investments </w:t>
      </w:r>
      <w:r w:rsidR="00584CA0">
        <w:rPr>
          <w:rFonts w:cstheme="minorHAnsi"/>
          <w:sz w:val="24"/>
          <w:szCs w:val="24"/>
        </w:rPr>
        <w:t xml:space="preserve">are classified by the Joint Panel on Accountability and Governance (JPAG) Practitioners’ Guide </w:t>
      </w:r>
      <w:r w:rsidR="00DD1AA8">
        <w:rPr>
          <w:rFonts w:cstheme="minorHAnsi"/>
          <w:sz w:val="24"/>
          <w:szCs w:val="24"/>
        </w:rPr>
        <w:t xml:space="preserve">(2021) </w:t>
      </w:r>
      <w:r w:rsidR="00584CA0">
        <w:rPr>
          <w:rFonts w:cstheme="minorHAnsi"/>
          <w:sz w:val="24"/>
          <w:szCs w:val="24"/>
        </w:rPr>
        <w:t>as being:</w:t>
      </w:r>
    </w:p>
    <w:p w14:paraId="6A6F7DC7" w14:textId="77777777" w:rsidR="00584CA0" w:rsidRPr="002927C2" w:rsidRDefault="00584CA0" w:rsidP="00584CA0">
      <w:pPr>
        <w:pStyle w:val="ListParagraph"/>
        <w:numPr>
          <w:ilvl w:val="0"/>
          <w:numId w:val="5"/>
        </w:numPr>
        <w:spacing w:after="0" w:line="240" w:lineRule="auto"/>
        <w:rPr>
          <w:rFonts w:cstheme="minorHAnsi"/>
          <w:sz w:val="24"/>
          <w:szCs w:val="24"/>
        </w:rPr>
      </w:pPr>
      <w:r>
        <w:t xml:space="preserve">deposit and savings accounts typically provided by banks that display the following characteristics: </w:t>
      </w:r>
    </w:p>
    <w:p w14:paraId="1ADD24E1" w14:textId="77777777" w:rsidR="00584CA0" w:rsidRPr="002927C2" w:rsidRDefault="00584CA0" w:rsidP="00584CA0">
      <w:pPr>
        <w:pStyle w:val="ListParagraph"/>
        <w:numPr>
          <w:ilvl w:val="1"/>
          <w:numId w:val="5"/>
        </w:numPr>
        <w:spacing w:after="0" w:line="240" w:lineRule="auto"/>
        <w:rPr>
          <w:rFonts w:cstheme="minorHAnsi"/>
          <w:sz w:val="24"/>
          <w:szCs w:val="24"/>
        </w:rPr>
      </w:pPr>
      <w:r>
        <w:t xml:space="preserve">are denominated in pounds Sterling; </w:t>
      </w:r>
    </w:p>
    <w:p w14:paraId="0121B028" w14:textId="77777777" w:rsidR="00584CA0" w:rsidRPr="002927C2" w:rsidRDefault="00584CA0" w:rsidP="00584CA0">
      <w:pPr>
        <w:pStyle w:val="ListParagraph"/>
        <w:numPr>
          <w:ilvl w:val="1"/>
          <w:numId w:val="5"/>
        </w:numPr>
        <w:spacing w:after="0" w:line="240" w:lineRule="auto"/>
        <w:rPr>
          <w:rFonts w:cstheme="minorHAnsi"/>
          <w:sz w:val="24"/>
          <w:szCs w:val="24"/>
        </w:rPr>
      </w:pPr>
      <w:r>
        <w:t xml:space="preserve">have a maturity of 12 months or less; </w:t>
      </w:r>
    </w:p>
    <w:p w14:paraId="4C0B3CDA" w14:textId="77777777" w:rsidR="00584CA0" w:rsidRPr="002927C2" w:rsidRDefault="00584CA0" w:rsidP="00584CA0">
      <w:pPr>
        <w:pStyle w:val="ListParagraph"/>
        <w:numPr>
          <w:ilvl w:val="1"/>
          <w:numId w:val="5"/>
        </w:numPr>
        <w:spacing w:after="0" w:line="240" w:lineRule="auto"/>
        <w:rPr>
          <w:rFonts w:cstheme="minorHAnsi"/>
          <w:sz w:val="24"/>
          <w:szCs w:val="24"/>
        </w:rPr>
      </w:pPr>
      <w:r>
        <w:t xml:space="preserve">the whole of the original sum invested can, from the time that the investment is made, be accessed for use by the authority without any reduction; and </w:t>
      </w:r>
    </w:p>
    <w:p w14:paraId="26AD0ABE" w14:textId="68BB0779" w:rsidR="00DD1AA8" w:rsidRDefault="00584CA0" w:rsidP="00584CA0">
      <w:pPr>
        <w:pStyle w:val="ListParagraph"/>
        <w:numPr>
          <w:ilvl w:val="1"/>
          <w:numId w:val="5"/>
        </w:numPr>
        <w:spacing w:after="0" w:line="240" w:lineRule="auto"/>
        <w:rPr>
          <w:rFonts w:cstheme="minorHAnsi"/>
          <w:sz w:val="24"/>
          <w:szCs w:val="24"/>
        </w:rPr>
      </w:pPr>
      <w:r>
        <w:t>the authority has assessed the counterparty and is satisfied that the original sum invested is not subject to unreasonable risk.</w:t>
      </w:r>
      <w:r w:rsidR="00702714" w:rsidRPr="00584CA0">
        <w:rPr>
          <w:rFonts w:cstheme="minorHAnsi"/>
          <w:sz w:val="24"/>
          <w:szCs w:val="24"/>
        </w:rPr>
        <w:t xml:space="preserve">  </w:t>
      </w:r>
    </w:p>
    <w:p w14:paraId="067E7393" w14:textId="77777777" w:rsidR="00430CA2" w:rsidRDefault="00430CA2" w:rsidP="00DD1AA8">
      <w:pPr>
        <w:spacing w:after="0" w:line="240" w:lineRule="auto"/>
        <w:ind w:left="720"/>
        <w:rPr>
          <w:rFonts w:cstheme="minorHAnsi"/>
          <w:sz w:val="24"/>
          <w:szCs w:val="24"/>
        </w:rPr>
      </w:pPr>
    </w:p>
    <w:p w14:paraId="6EE456C3" w14:textId="5D75AD19" w:rsidR="00702714" w:rsidRDefault="00702714" w:rsidP="00DD1AA8">
      <w:pPr>
        <w:spacing w:after="0" w:line="240" w:lineRule="auto"/>
        <w:ind w:left="720"/>
        <w:rPr>
          <w:rFonts w:cstheme="minorHAnsi"/>
          <w:sz w:val="24"/>
          <w:szCs w:val="24"/>
        </w:rPr>
      </w:pPr>
      <w:r w:rsidRPr="002927C2">
        <w:rPr>
          <w:rFonts w:cstheme="minorHAnsi"/>
          <w:sz w:val="24"/>
          <w:szCs w:val="24"/>
        </w:rPr>
        <w:t>Long term investments</w:t>
      </w:r>
      <w:r w:rsidR="007E2EA7">
        <w:rPr>
          <w:rFonts w:cstheme="minorHAnsi"/>
          <w:sz w:val="24"/>
          <w:szCs w:val="24"/>
        </w:rPr>
        <w:t xml:space="preserve"> </w:t>
      </w:r>
      <w:r w:rsidR="00DD1AA8">
        <w:rPr>
          <w:rFonts w:cstheme="minorHAnsi"/>
          <w:sz w:val="24"/>
          <w:szCs w:val="24"/>
        </w:rPr>
        <w:t>are classified by the JPAG Practitioners’ Guide</w:t>
      </w:r>
      <w:r w:rsidR="00227C76">
        <w:rPr>
          <w:rFonts w:cstheme="minorHAnsi"/>
          <w:sz w:val="24"/>
          <w:szCs w:val="24"/>
        </w:rPr>
        <w:t xml:space="preserve"> (2021)</w:t>
      </w:r>
      <w:r w:rsidR="00DD1AA8">
        <w:rPr>
          <w:rFonts w:cstheme="minorHAnsi"/>
          <w:sz w:val="24"/>
          <w:szCs w:val="24"/>
        </w:rPr>
        <w:t xml:space="preserve"> as any money </w:t>
      </w:r>
      <w:r w:rsidR="00DD1AA8">
        <w:t xml:space="preserve">invested in anything other than a short-term investment. </w:t>
      </w:r>
    </w:p>
    <w:p w14:paraId="583B5DEA" w14:textId="788EC78D" w:rsidR="00DD1AA8" w:rsidRDefault="00DD1AA8" w:rsidP="00DD1AA8">
      <w:pPr>
        <w:spacing w:after="0" w:line="240" w:lineRule="auto"/>
        <w:ind w:left="720"/>
        <w:rPr>
          <w:rFonts w:cstheme="minorHAnsi"/>
          <w:sz w:val="24"/>
          <w:szCs w:val="24"/>
        </w:rPr>
      </w:pPr>
    </w:p>
    <w:p w14:paraId="188A5B7E" w14:textId="08EB95C1" w:rsidR="00DD1AA8" w:rsidRPr="002927C2" w:rsidRDefault="00DD1AA8" w:rsidP="002927C2">
      <w:pPr>
        <w:spacing w:after="0" w:line="240" w:lineRule="auto"/>
        <w:ind w:left="720"/>
        <w:rPr>
          <w:rFonts w:cstheme="minorHAnsi"/>
          <w:sz w:val="24"/>
          <w:szCs w:val="24"/>
        </w:rPr>
      </w:pPr>
      <w:r>
        <w:rPr>
          <w:rFonts w:cstheme="minorHAnsi"/>
          <w:sz w:val="24"/>
          <w:szCs w:val="24"/>
        </w:rPr>
        <w:t>Although the council may intend for the investment to be used for projects some time in</w:t>
      </w:r>
      <w:r w:rsidR="00227C76">
        <w:rPr>
          <w:rFonts w:cstheme="minorHAnsi"/>
          <w:sz w:val="24"/>
          <w:szCs w:val="24"/>
        </w:rPr>
        <w:t>to</w:t>
      </w:r>
      <w:r>
        <w:rPr>
          <w:rFonts w:cstheme="minorHAnsi"/>
          <w:sz w:val="24"/>
          <w:szCs w:val="24"/>
        </w:rPr>
        <w:t xml:space="preserve"> the future, the classification of investment type shall be based on the nature of the investment itself, rather than its intended purpose. </w:t>
      </w:r>
    </w:p>
    <w:p w14:paraId="48E166DC"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0A33CEAE" w14:textId="7E039999"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9. </w:t>
      </w:r>
      <w:r>
        <w:rPr>
          <w:rFonts w:cstheme="minorHAnsi"/>
          <w:sz w:val="24"/>
          <w:szCs w:val="24"/>
        </w:rPr>
        <w:tab/>
      </w:r>
      <w:r w:rsidRPr="00702714">
        <w:rPr>
          <w:rFonts w:cstheme="minorHAnsi"/>
          <w:sz w:val="24"/>
          <w:szCs w:val="24"/>
        </w:rPr>
        <w:t xml:space="preserve">All investments made by </w:t>
      </w:r>
      <w:r w:rsidR="00430CA2">
        <w:rPr>
          <w:rFonts w:cstheme="minorHAnsi"/>
          <w:sz w:val="24"/>
          <w:szCs w:val="24"/>
        </w:rPr>
        <w:t>Barkham</w:t>
      </w:r>
      <w:r w:rsidRPr="00702714">
        <w:rPr>
          <w:rFonts w:cstheme="minorHAnsi"/>
          <w:sz w:val="24"/>
          <w:szCs w:val="24"/>
        </w:rPr>
        <w:t xml:space="preserve"> Parish Council shall be </w:t>
      </w:r>
      <w:r>
        <w:rPr>
          <w:rFonts w:cstheme="minorHAnsi"/>
          <w:sz w:val="24"/>
          <w:szCs w:val="24"/>
        </w:rPr>
        <w:t>agreed by</w:t>
      </w:r>
      <w:r w:rsidRPr="00702714">
        <w:rPr>
          <w:rFonts w:cstheme="minorHAnsi"/>
          <w:sz w:val="24"/>
          <w:szCs w:val="24"/>
        </w:rPr>
        <w:t xml:space="preserve"> full Council. </w:t>
      </w:r>
    </w:p>
    <w:p w14:paraId="008CAB01"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2F88E4E9" w14:textId="284B781C"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10. </w:t>
      </w:r>
      <w:r>
        <w:rPr>
          <w:rFonts w:cstheme="minorHAnsi"/>
          <w:sz w:val="24"/>
          <w:szCs w:val="24"/>
        </w:rPr>
        <w:tab/>
      </w:r>
      <w:r w:rsidR="00430CA2">
        <w:rPr>
          <w:rFonts w:cstheme="minorHAnsi"/>
          <w:sz w:val="24"/>
          <w:szCs w:val="24"/>
        </w:rPr>
        <w:t>Barkham</w:t>
      </w:r>
      <w:r w:rsidRPr="00702714">
        <w:rPr>
          <w:rFonts w:cstheme="minorHAnsi"/>
          <w:sz w:val="24"/>
          <w:szCs w:val="24"/>
        </w:rPr>
        <w:t xml:space="preserve"> Parish Council will produce an annual forecast of expenditure commitments for the coming year and</w:t>
      </w:r>
      <w:r w:rsidR="008D2665">
        <w:rPr>
          <w:rFonts w:cstheme="minorHAnsi"/>
          <w:sz w:val="24"/>
          <w:szCs w:val="24"/>
        </w:rPr>
        <w:t>,</w:t>
      </w:r>
      <w:r w:rsidRPr="00702714">
        <w:rPr>
          <w:rFonts w:cstheme="minorHAnsi"/>
          <w:sz w:val="24"/>
          <w:szCs w:val="24"/>
        </w:rPr>
        <w:t xml:space="preserve"> on the basis of that forecast, will review the investments annually. </w:t>
      </w:r>
    </w:p>
    <w:p w14:paraId="31C2842E"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0E55AD45" w14:textId="0F61282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11. </w:t>
      </w:r>
      <w:r>
        <w:rPr>
          <w:rFonts w:cstheme="minorHAnsi"/>
          <w:sz w:val="24"/>
          <w:szCs w:val="24"/>
        </w:rPr>
        <w:tab/>
      </w:r>
      <w:r w:rsidR="00430CA2">
        <w:rPr>
          <w:rFonts w:cstheme="minorHAnsi"/>
          <w:sz w:val="24"/>
          <w:szCs w:val="24"/>
        </w:rPr>
        <w:t>Barkham</w:t>
      </w:r>
      <w:r w:rsidRPr="00702714">
        <w:rPr>
          <w:rFonts w:cstheme="minorHAnsi"/>
          <w:sz w:val="24"/>
          <w:szCs w:val="24"/>
        </w:rPr>
        <w:t xml:space="preserve"> Parish Council will use quantitative indicators to help explain the opportunities from borrowing and investment decisions, such as rates of return or yield.  The Council will also illustrate the authority’s total risk exposure as a result of its investment decisions.   </w:t>
      </w:r>
    </w:p>
    <w:p w14:paraId="07E4F604" w14:textId="77777777" w:rsidR="00702714" w:rsidRPr="00702714" w:rsidRDefault="00702714" w:rsidP="00702714">
      <w:pPr>
        <w:spacing w:after="0" w:line="240" w:lineRule="auto"/>
        <w:ind w:left="720" w:hanging="720"/>
        <w:rPr>
          <w:rFonts w:cstheme="minorHAnsi"/>
          <w:sz w:val="24"/>
          <w:szCs w:val="24"/>
        </w:rPr>
      </w:pPr>
    </w:p>
    <w:p w14:paraId="75BEAD49" w14:textId="5F8A4254"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12. </w:t>
      </w:r>
      <w:r>
        <w:rPr>
          <w:rFonts w:cstheme="minorHAnsi"/>
          <w:sz w:val="24"/>
          <w:szCs w:val="24"/>
        </w:rPr>
        <w:tab/>
      </w:r>
      <w:r w:rsidRPr="00702714">
        <w:rPr>
          <w:rFonts w:cstheme="minorHAnsi"/>
          <w:sz w:val="24"/>
          <w:szCs w:val="24"/>
        </w:rPr>
        <w:t xml:space="preserve">The Investment Strategy will be reviewed annually. </w:t>
      </w:r>
    </w:p>
    <w:p w14:paraId="2F0ACA0F" w14:textId="7777777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 xml:space="preserve"> </w:t>
      </w:r>
    </w:p>
    <w:p w14:paraId="34572A0A" w14:textId="663693B7" w:rsidR="00702714" w:rsidRPr="00702714" w:rsidRDefault="00702714" w:rsidP="00702714">
      <w:pPr>
        <w:spacing w:after="0" w:line="240" w:lineRule="auto"/>
        <w:ind w:left="720" w:hanging="720"/>
        <w:rPr>
          <w:rFonts w:cstheme="minorHAnsi"/>
          <w:sz w:val="24"/>
          <w:szCs w:val="24"/>
        </w:rPr>
      </w:pPr>
      <w:r w:rsidRPr="00702714">
        <w:rPr>
          <w:rFonts w:cstheme="minorHAnsi"/>
          <w:sz w:val="24"/>
          <w:szCs w:val="24"/>
        </w:rPr>
        <w:t>13</w:t>
      </w:r>
      <w:r w:rsidR="0082000E">
        <w:rPr>
          <w:rFonts w:cstheme="minorHAnsi"/>
          <w:sz w:val="24"/>
          <w:szCs w:val="24"/>
        </w:rPr>
        <w:t>.</w:t>
      </w:r>
      <w:r w:rsidRPr="00702714">
        <w:rPr>
          <w:rFonts w:cstheme="minorHAnsi"/>
          <w:sz w:val="24"/>
          <w:szCs w:val="24"/>
        </w:rPr>
        <w:t xml:space="preserve"> </w:t>
      </w:r>
      <w:r w:rsidR="0082000E">
        <w:rPr>
          <w:rFonts w:cstheme="minorHAnsi"/>
          <w:sz w:val="24"/>
          <w:szCs w:val="24"/>
        </w:rPr>
        <w:tab/>
      </w:r>
      <w:r w:rsidR="00430CA2">
        <w:rPr>
          <w:rFonts w:cstheme="minorHAnsi"/>
          <w:sz w:val="24"/>
          <w:szCs w:val="24"/>
        </w:rPr>
        <w:t>Barkham</w:t>
      </w:r>
      <w:r w:rsidR="0082000E">
        <w:rPr>
          <w:rFonts w:cstheme="minorHAnsi"/>
          <w:sz w:val="24"/>
          <w:szCs w:val="24"/>
        </w:rPr>
        <w:t xml:space="preserve"> </w:t>
      </w:r>
      <w:r w:rsidRPr="00702714">
        <w:rPr>
          <w:rFonts w:cstheme="minorHAnsi"/>
          <w:sz w:val="24"/>
          <w:szCs w:val="24"/>
        </w:rPr>
        <w:t xml:space="preserve">Parish Council reserves the right to make variations to the Strategy at any time.   </w:t>
      </w:r>
    </w:p>
    <w:p w14:paraId="0EF48D77" w14:textId="77777777" w:rsidR="00702714" w:rsidRPr="00702714" w:rsidRDefault="00702714" w:rsidP="00702714">
      <w:pPr>
        <w:spacing w:after="0" w:line="240" w:lineRule="auto"/>
        <w:ind w:left="720" w:hanging="720"/>
        <w:rPr>
          <w:rFonts w:ascii="Times New Roman" w:hAnsi="Times New Roman" w:cs="Times New Roman"/>
          <w:sz w:val="24"/>
          <w:szCs w:val="24"/>
        </w:rPr>
      </w:pPr>
      <w:r w:rsidRPr="00702714">
        <w:rPr>
          <w:rFonts w:ascii="Times New Roman" w:hAnsi="Times New Roman" w:cs="Times New Roman"/>
          <w:sz w:val="24"/>
          <w:szCs w:val="24"/>
        </w:rPr>
        <w:t xml:space="preserve"> </w:t>
      </w:r>
    </w:p>
    <w:p w14:paraId="56E3BAD0" w14:textId="77777777" w:rsidR="00702714" w:rsidRPr="00702714" w:rsidRDefault="00702714" w:rsidP="00702714">
      <w:pPr>
        <w:spacing w:after="0" w:line="240" w:lineRule="auto"/>
        <w:ind w:left="720" w:hanging="720"/>
        <w:rPr>
          <w:rFonts w:ascii="Times New Roman" w:hAnsi="Times New Roman" w:cs="Times New Roman"/>
          <w:sz w:val="24"/>
          <w:szCs w:val="24"/>
        </w:rPr>
      </w:pPr>
      <w:r w:rsidRPr="00702714">
        <w:rPr>
          <w:rFonts w:ascii="Times New Roman" w:hAnsi="Times New Roman" w:cs="Times New Roman"/>
          <w:sz w:val="24"/>
          <w:szCs w:val="24"/>
        </w:rPr>
        <w:t xml:space="preserve"> </w:t>
      </w:r>
    </w:p>
    <w:p w14:paraId="4ACDD40E" w14:textId="4CC38CD5" w:rsidR="0082000E" w:rsidRDefault="00CD18C5" w:rsidP="0082000E">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0082000E">
        <w:rPr>
          <w:rFonts w:cs="Arial"/>
          <w:b/>
          <w:bCs/>
        </w:rPr>
        <w:tab/>
      </w:r>
      <w:bookmarkStart w:id="0" w:name="_Hlk63937482"/>
      <w:r w:rsidR="0082000E">
        <w:t>Annex A: List of Parish Council Investments in place as at 31</w:t>
      </w:r>
      <w:r w:rsidR="0082000E" w:rsidRPr="00E60D4C">
        <w:rPr>
          <w:vertAlign w:val="superscript"/>
        </w:rPr>
        <w:t>st</w:t>
      </w:r>
      <w:r w:rsidR="0082000E">
        <w:t xml:space="preserve"> </w:t>
      </w:r>
      <w:r w:rsidR="00430CA2">
        <w:t xml:space="preserve">March </w:t>
      </w:r>
      <w:r w:rsidR="00205ADD">
        <w:t>202</w:t>
      </w:r>
      <w:r w:rsidR="00430CA2">
        <w:t>2</w:t>
      </w:r>
    </w:p>
    <w:tbl>
      <w:tblPr>
        <w:tblStyle w:val="TableGrid"/>
        <w:tblW w:w="10348" w:type="dxa"/>
        <w:tblInd w:w="-572" w:type="dxa"/>
        <w:tblLook w:val="04A0" w:firstRow="1" w:lastRow="0" w:firstColumn="1" w:lastColumn="0" w:noHBand="0" w:noVBand="1"/>
      </w:tblPr>
      <w:tblGrid>
        <w:gridCol w:w="2268"/>
        <w:gridCol w:w="1796"/>
        <w:gridCol w:w="1606"/>
        <w:gridCol w:w="2694"/>
        <w:gridCol w:w="1984"/>
      </w:tblGrid>
      <w:tr w:rsidR="00F6104E" w:rsidRPr="008D2665" w14:paraId="7A295CF8" w14:textId="77777777" w:rsidTr="00D40898">
        <w:tc>
          <w:tcPr>
            <w:tcW w:w="2268" w:type="dxa"/>
          </w:tcPr>
          <w:p w14:paraId="06280293" w14:textId="77777777" w:rsidR="00422EE9" w:rsidRPr="008D2665" w:rsidRDefault="00422EE9" w:rsidP="000F1007">
            <w:pPr>
              <w:rPr>
                <w:b/>
                <w:bCs/>
              </w:rPr>
            </w:pPr>
            <w:bookmarkStart w:id="1" w:name="_Hlk63937560"/>
            <w:r w:rsidRPr="008D2665">
              <w:rPr>
                <w:b/>
                <w:bCs/>
              </w:rPr>
              <w:t>Location</w:t>
            </w:r>
          </w:p>
        </w:tc>
        <w:tc>
          <w:tcPr>
            <w:tcW w:w="1796" w:type="dxa"/>
          </w:tcPr>
          <w:p w14:paraId="4AB31735" w14:textId="63CDA8EA" w:rsidR="00422EE9" w:rsidRPr="008D2665" w:rsidRDefault="00422EE9" w:rsidP="000F1007">
            <w:pPr>
              <w:rPr>
                <w:b/>
                <w:bCs/>
              </w:rPr>
            </w:pPr>
            <w:r w:rsidRPr="008D2665">
              <w:rPr>
                <w:b/>
                <w:bCs/>
              </w:rPr>
              <w:t>Investment Type</w:t>
            </w:r>
          </w:p>
        </w:tc>
        <w:tc>
          <w:tcPr>
            <w:tcW w:w="1606" w:type="dxa"/>
          </w:tcPr>
          <w:p w14:paraId="47F7696A" w14:textId="4B52E39B" w:rsidR="00422EE9" w:rsidRPr="008D2665" w:rsidRDefault="00D40898" w:rsidP="000F1007">
            <w:pPr>
              <w:rPr>
                <w:b/>
                <w:bCs/>
              </w:rPr>
            </w:pPr>
            <w:r w:rsidRPr="008D2665">
              <w:rPr>
                <w:b/>
                <w:bCs/>
              </w:rPr>
              <w:t>Balance (as at 31.</w:t>
            </w:r>
            <w:r w:rsidR="005903B9">
              <w:rPr>
                <w:b/>
                <w:bCs/>
              </w:rPr>
              <w:t>03</w:t>
            </w:r>
            <w:r w:rsidRPr="008D2665">
              <w:rPr>
                <w:b/>
                <w:bCs/>
              </w:rPr>
              <w:t>.20</w:t>
            </w:r>
            <w:r w:rsidR="00C131BA" w:rsidRPr="008D2665">
              <w:rPr>
                <w:b/>
                <w:bCs/>
              </w:rPr>
              <w:t>2</w:t>
            </w:r>
            <w:r w:rsidR="005903B9">
              <w:rPr>
                <w:b/>
                <w:bCs/>
              </w:rPr>
              <w:t>2</w:t>
            </w:r>
            <w:r w:rsidRPr="008D2665">
              <w:rPr>
                <w:b/>
                <w:bCs/>
              </w:rPr>
              <w:t>)</w:t>
            </w:r>
          </w:p>
        </w:tc>
        <w:tc>
          <w:tcPr>
            <w:tcW w:w="2694" w:type="dxa"/>
          </w:tcPr>
          <w:p w14:paraId="7993E132" w14:textId="77777777" w:rsidR="00422EE9" w:rsidRPr="008D2665" w:rsidRDefault="00422EE9" w:rsidP="000F1007">
            <w:pPr>
              <w:rPr>
                <w:b/>
                <w:bCs/>
              </w:rPr>
            </w:pPr>
            <w:r w:rsidRPr="008D2665">
              <w:rPr>
                <w:b/>
                <w:bCs/>
              </w:rPr>
              <w:t xml:space="preserve">Notice </w:t>
            </w:r>
          </w:p>
        </w:tc>
        <w:tc>
          <w:tcPr>
            <w:tcW w:w="1984" w:type="dxa"/>
          </w:tcPr>
          <w:p w14:paraId="39332543" w14:textId="77777777" w:rsidR="00422EE9" w:rsidRPr="008D2665" w:rsidRDefault="00422EE9" w:rsidP="000F1007">
            <w:pPr>
              <w:rPr>
                <w:b/>
                <w:bCs/>
              </w:rPr>
            </w:pPr>
            <w:r w:rsidRPr="008D2665">
              <w:rPr>
                <w:b/>
                <w:bCs/>
              </w:rPr>
              <w:t>Return</w:t>
            </w:r>
          </w:p>
        </w:tc>
      </w:tr>
      <w:tr w:rsidR="00F6104E" w14:paraId="53956744" w14:textId="77777777" w:rsidTr="00D40898">
        <w:tc>
          <w:tcPr>
            <w:tcW w:w="2268" w:type="dxa"/>
          </w:tcPr>
          <w:p w14:paraId="1FE089EF" w14:textId="080901A5" w:rsidR="00422EE9" w:rsidRDefault="005903B9" w:rsidP="000F1007">
            <w:proofErr w:type="spellStart"/>
            <w:r>
              <w:t>Natwest</w:t>
            </w:r>
            <w:proofErr w:type="spellEnd"/>
            <w:r>
              <w:t xml:space="preserve"> Business Savings Account</w:t>
            </w:r>
          </w:p>
        </w:tc>
        <w:tc>
          <w:tcPr>
            <w:tcW w:w="1796" w:type="dxa"/>
          </w:tcPr>
          <w:p w14:paraId="10E206AD" w14:textId="5D0E9188" w:rsidR="00422EE9" w:rsidRDefault="00227C76" w:rsidP="000F1007">
            <w:r>
              <w:t xml:space="preserve">Short </w:t>
            </w:r>
            <w:r w:rsidR="000F116F">
              <w:t>Term</w:t>
            </w:r>
          </w:p>
        </w:tc>
        <w:tc>
          <w:tcPr>
            <w:tcW w:w="1606" w:type="dxa"/>
          </w:tcPr>
          <w:p w14:paraId="592E62FD" w14:textId="7636BC05" w:rsidR="00422EE9" w:rsidRDefault="00F6104E" w:rsidP="000F1007">
            <w:r>
              <w:t>£</w:t>
            </w:r>
            <w:r w:rsidR="005903B9">
              <w:t>85,014.38</w:t>
            </w:r>
          </w:p>
          <w:p w14:paraId="041868C6" w14:textId="26DDCAD9" w:rsidR="000F116F" w:rsidRDefault="000F116F" w:rsidP="000F1007"/>
        </w:tc>
        <w:tc>
          <w:tcPr>
            <w:tcW w:w="2694" w:type="dxa"/>
          </w:tcPr>
          <w:p w14:paraId="37782A54" w14:textId="54333945" w:rsidR="00422EE9" w:rsidRDefault="00FE013E" w:rsidP="000F1007">
            <w:r>
              <w:t>3-7 days, Notice</w:t>
            </w:r>
            <w:r w:rsidR="00230814">
              <w:t xml:space="preserve"> must be given</w:t>
            </w:r>
            <w:r>
              <w:t xml:space="preserve"> in writing and </w:t>
            </w:r>
            <w:r w:rsidR="00230814">
              <w:t>transaction will be processed within 3 working days</w:t>
            </w:r>
          </w:p>
        </w:tc>
        <w:tc>
          <w:tcPr>
            <w:tcW w:w="1984" w:type="dxa"/>
          </w:tcPr>
          <w:p w14:paraId="17FCAD6A" w14:textId="44BD3542" w:rsidR="00422EE9" w:rsidRDefault="00FE013E" w:rsidP="000F1007">
            <w:r>
              <w:t>Interest following Bank of England Base Rate</w:t>
            </w:r>
          </w:p>
        </w:tc>
      </w:tr>
      <w:tr w:rsidR="00F6104E" w14:paraId="4657D8F0" w14:textId="77777777" w:rsidTr="00D40898">
        <w:tc>
          <w:tcPr>
            <w:tcW w:w="2268" w:type="dxa"/>
          </w:tcPr>
          <w:p w14:paraId="25A7788B" w14:textId="57A11E89" w:rsidR="00422EE9" w:rsidRDefault="005903B9" w:rsidP="000F1007">
            <w:r>
              <w:t>Nationwide Business Savings Account</w:t>
            </w:r>
          </w:p>
        </w:tc>
        <w:tc>
          <w:tcPr>
            <w:tcW w:w="1796" w:type="dxa"/>
          </w:tcPr>
          <w:p w14:paraId="4F55A5D9" w14:textId="12F2083E" w:rsidR="00422EE9" w:rsidRDefault="00227C76" w:rsidP="000F1007">
            <w:r>
              <w:t xml:space="preserve">Short </w:t>
            </w:r>
            <w:r w:rsidR="00422EE9">
              <w:t>Term</w:t>
            </w:r>
          </w:p>
        </w:tc>
        <w:tc>
          <w:tcPr>
            <w:tcW w:w="1606" w:type="dxa"/>
          </w:tcPr>
          <w:p w14:paraId="24C821FF" w14:textId="1FD596A3" w:rsidR="00422EE9" w:rsidRDefault="000F116F" w:rsidP="000F1007">
            <w:r>
              <w:t>£</w:t>
            </w:r>
            <w:r w:rsidR="005903B9">
              <w:t>85,000.00</w:t>
            </w:r>
          </w:p>
        </w:tc>
        <w:tc>
          <w:tcPr>
            <w:tcW w:w="2694" w:type="dxa"/>
          </w:tcPr>
          <w:p w14:paraId="3ED1FC4B" w14:textId="4B9C6716" w:rsidR="0087458F" w:rsidRDefault="00230814" w:rsidP="0087458F">
            <w:r>
              <w:t xml:space="preserve">3-7 days, Notice must be given in writing and transaction will be </w:t>
            </w:r>
            <w:r>
              <w:lastRenderedPageBreak/>
              <w:t>processed within 3 working days</w:t>
            </w:r>
          </w:p>
          <w:p w14:paraId="2CCD01A3" w14:textId="4A1E78D1" w:rsidR="0087458F" w:rsidRPr="0087458F" w:rsidRDefault="0087458F"/>
        </w:tc>
        <w:tc>
          <w:tcPr>
            <w:tcW w:w="1984" w:type="dxa"/>
          </w:tcPr>
          <w:p w14:paraId="4FC4A76D" w14:textId="048B9C5B" w:rsidR="00EA16FB" w:rsidRDefault="00FE013E" w:rsidP="00FE013E">
            <w:r>
              <w:lastRenderedPageBreak/>
              <w:t>Interest following Bank of England Base Rate</w:t>
            </w:r>
          </w:p>
        </w:tc>
      </w:tr>
      <w:tr w:rsidR="00F6104E" w14:paraId="413E3490" w14:textId="77777777" w:rsidTr="00D40898">
        <w:tc>
          <w:tcPr>
            <w:tcW w:w="2268" w:type="dxa"/>
          </w:tcPr>
          <w:p w14:paraId="332A4EF2" w14:textId="1C0673B0" w:rsidR="00422EE9" w:rsidRDefault="00760680" w:rsidP="000F1007">
            <w:r>
              <w:t>Unity Trust Bank</w:t>
            </w:r>
            <w:r w:rsidR="00430CA2">
              <w:t xml:space="preserve"> Savings Account</w:t>
            </w:r>
          </w:p>
        </w:tc>
        <w:tc>
          <w:tcPr>
            <w:tcW w:w="1796" w:type="dxa"/>
          </w:tcPr>
          <w:p w14:paraId="56F8A768" w14:textId="6A32F356" w:rsidR="00422EE9" w:rsidRDefault="00227C76" w:rsidP="000F1007">
            <w:r>
              <w:t xml:space="preserve">Short </w:t>
            </w:r>
            <w:r w:rsidR="000F116F">
              <w:t>Term</w:t>
            </w:r>
          </w:p>
        </w:tc>
        <w:tc>
          <w:tcPr>
            <w:tcW w:w="1606" w:type="dxa"/>
          </w:tcPr>
          <w:p w14:paraId="792378FF" w14:textId="7FE6D9CA" w:rsidR="00422EE9" w:rsidRDefault="00F6104E" w:rsidP="000F1007">
            <w:r>
              <w:t>£</w:t>
            </w:r>
            <w:r w:rsidR="005903B9">
              <w:t>75334.39</w:t>
            </w:r>
          </w:p>
        </w:tc>
        <w:tc>
          <w:tcPr>
            <w:tcW w:w="2694" w:type="dxa"/>
          </w:tcPr>
          <w:p w14:paraId="60E5BBBB" w14:textId="3277B6C0" w:rsidR="00422EE9" w:rsidRDefault="000F116F" w:rsidP="000F1007">
            <w:r>
              <w:t>None</w:t>
            </w:r>
          </w:p>
        </w:tc>
        <w:tc>
          <w:tcPr>
            <w:tcW w:w="1984" w:type="dxa"/>
          </w:tcPr>
          <w:p w14:paraId="685FE0C1" w14:textId="61BF1048" w:rsidR="00422EE9" w:rsidRDefault="00FE013E" w:rsidP="000F1007">
            <w:r>
              <w:t>Interest following Bank of England Base Rate</w:t>
            </w:r>
          </w:p>
        </w:tc>
      </w:tr>
      <w:tr w:rsidR="00F6104E" w14:paraId="4D813EA7" w14:textId="77777777" w:rsidTr="00D40898">
        <w:tc>
          <w:tcPr>
            <w:tcW w:w="2268" w:type="dxa"/>
          </w:tcPr>
          <w:p w14:paraId="0A735A19" w14:textId="4F5FABEF" w:rsidR="00422EE9" w:rsidRDefault="00430CA2" w:rsidP="000F1007">
            <w:r>
              <w:t>Unity Trust Bank</w:t>
            </w:r>
            <w:r w:rsidR="00422EE9">
              <w:t xml:space="preserve"> – Currently account</w:t>
            </w:r>
          </w:p>
        </w:tc>
        <w:tc>
          <w:tcPr>
            <w:tcW w:w="1796" w:type="dxa"/>
          </w:tcPr>
          <w:p w14:paraId="21BE3FD8" w14:textId="6247C906" w:rsidR="00422EE9" w:rsidRDefault="00EA16FB" w:rsidP="000F1007">
            <w:r>
              <w:t xml:space="preserve">Not considered an investment – current account only. </w:t>
            </w:r>
          </w:p>
        </w:tc>
        <w:tc>
          <w:tcPr>
            <w:tcW w:w="1606" w:type="dxa"/>
          </w:tcPr>
          <w:p w14:paraId="06542623" w14:textId="7120863A" w:rsidR="00422EE9" w:rsidRDefault="00D40898" w:rsidP="000F1007">
            <w:r>
              <w:t>£</w:t>
            </w:r>
            <w:r w:rsidR="005903B9">
              <w:t>140829.23</w:t>
            </w:r>
          </w:p>
        </w:tc>
        <w:tc>
          <w:tcPr>
            <w:tcW w:w="2694" w:type="dxa"/>
          </w:tcPr>
          <w:p w14:paraId="6547B0E7" w14:textId="10D13DB6" w:rsidR="00422EE9" w:rsidRDefault="00422EE9" w:rsidP="000F1007">
            <w:r>
              <w:t>None</w:t>
            </w:r>
          </w:p>
        </w:tc>
        <w:tc>
          <w:tcPr>
            <w:tcW w:w="1984" w:type="dxa"/>
          </w:tcPr>
          <w:p w14:paraId="0A5A83DC" w14:textId="3E302488" w:rsidR="00422EE9" w:rsidRDefault="00422EE9" w:rsidP="000F1007">
            <w:r>
              <w:t>None</w:t>
            </w:r>
          </w:p>
        </w:tc>
      </w:tr>
    </w:tbl>
    <w:bookmarkEnd w:id="1"/>
    <w:p w14:paraId="724D5B31" w14:textId="25BBA7A6" w:rsidR="0082000E" w:rsidRDefault="00D40898" w:rsidP="0082000E">
      <w:r>
        <w:t>*</w:t>
      </w:r>
      <w:proofErr w:type="gramStart"/>
      <w:r>
        <w:t>current</w:t>
      </w:r>
      <w:proofErr w:type="gramEnd"/>
      <w:r>
        <w:t xml:space="preserve"> year expenditure still to be transferred</w:t>
      </w:r>
    </w:p>
    <w:bookmarkEnd w:id="0"/>
    <w:p w14:paraId="1CB04E6E" w14:textId="77777777" w:rsidR="0082000E" w:rsidRDefault="0082000E" w:rsidP="0082000E"/>
    <w:p w14:paraId="32BD8D88" w14:textId="39C9A96B" w:rsidR="0082000E" w:rsidRDefault="0082000E" w:rsidP="0082000E">
      <w:r>
        <w:t>No other funds are held.</w:t>
      </w:r>
    </w:p>
    <w:p w14:paraId="08754983" w14:textId="77777777" w:rsidR="0082000E" w:rsidRDefault="0082000E" w:rsidP="0082000E"/>
    <w:p w14:paraId="2CEB5D65" w14:textId="4A2BA284" w:rsidR="0082000E" w:rsidRDefault="0082000E" w:rsidP="0082000E">
      <w:r>
        <w:t>Signed and Dated: ………………………………………….</w:t>
      </w:r>
    </w:p>
    <w:p w14:paraId="07066E89" w14:textId="77777777" w:rsidR="00230814" w:rsidRDefault="00230814" w:rsidP="0082000E"/>
    <w:p w14:paraId="5C6AAE00" w14:textId="77777777" w:rsidR="0082000E" w:rsidRDefault="0082000E" w:rsidP="0082000E">
      <w:r>
        <w:t>Name of Chairman: ………………………………………...</w:t>
      </w:r>
    </w:p>
    <w:p w14:paraId="3C6164BB" w14:textId="03A22CB1" w:rsidR="002B7C7F" w:rsidRDefault="00CD18C5" w:rsidP="002B7C7F">
      <w:pPr>
        <w:autoSpaceDE w:val="0"/>
        <w:autoSpaceDN w:val="0"/>
        <w:adjustRightInd w:val="0"/>
        <w:rPr>
          <w:rFonts w:cs="Arial"/>
          <w:b/>
          <w:bCs/>
        </w:rPr>
      </w:pPr>
      <w:r>
        <w:rPr>
          <w:rFonts w:cs="Arial"/>
          <w:b/>
          <w:bCs/>
        </w:rPr>
        <w:tab/>
      </w:r>
    </w:p>
    <w:sectPr w:rsidR="002B7C7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C592C" w14:textId="77777777" w:rsidR="004C26EA" w:rsidRDefault="004C26EA" w:rsidP="008B036D">
      <w:pPr>
        <w:spacing w:after="0" w:line="240" w:lineRule="auto"/>
      </w:pPr>
      <w:r>
        <w:separator/>
      </w:r>
    </w:p>
  </w:endnote>
  <w:endnote w:type="continuationSeparator" w:id="0">
    <w:p w14:paraId="241CE1D6" w14:textId="77777777" w:rsidR="004C26EA" w:rsidRDefault="004C26EA" w:rsidP="008B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61F2" w14:textId="32FD143F" w:rsidR="008B036D" w:rsidRDefault="008B036D">
    <w:pPr>
      <w:pStyle w:val="Footer"/>
    </w:pPr>
    <w:r>
      <w:t>Adoption Date:</w:t>
    </w:r>
    <w:r w:rsidR="00595EB8">
      <w:t xml:space="preserve"> </w:t>
    </w:r>
    <w:r w:rsidR="00F712CB">
      <w:t>12.07.2022</w:t>
    </w:r>
    <w:r>
      <w:tab/>
      <w:t>Minute Reference:</w:t>
    </w:r>
    <w:r w:rsidR="00B53D22">
      <w:t xml:space="preserve"> </w:t>
    </w:r>
    <w:r w:rsidR="00F712CB">
      <w:t>22/101 (1)</w:t>
    </w:r>
    <w:r>
      <w:ptab w:relativeTo="margin" w:alignment="right" w:leader="none"/>
    </w:r>
    <w:r>
      <w:t>Next Review Date:</w:t>
    </w:r>
    <w:r w:rsidR="00B53D22">
      <w:t xml:space="preserve"> </w:t>
    </w:r>
    <w:r w:rsidR="00F712CB">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A9B39" w14:textId="77777777" w:rsidR="004C26EA" w:rsidRDefault="004C26EA" w:rsidP="008B036D">
      <w:pPr>
        <w:spacing w:after="0" w:line="240" w:lineRule="auto"/>
      </w:pPr>
      <w:r>
        <w:separator/>
      </w:r>
    </w:p>
  </w:footnote>
  <w:footnote w:type="continuationSeparator" w:id="0">
    <w:p w14:paraId="0445D36C" w14:textId="77777777" w:rsidR="004C26EA" w:rsidRDefault="004C26EA" w:rsidP="008B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E429" w14:textId="35EEAE29" w:rsidR="00F712CB" w:rsidRDefault="00F712CB">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r>
      <w:rPr>
        <w:color w:val="8496B0" w:themeColor="text2" w:themeTint="99"/>
        <w:sz w:val="24"/>
        <w:szCs w:val="24"/>
      </w:rPr>
      <w:t xml:space="preserve"> of 4</w:t>
    </w:r>
  </w:p>
  <w:p w14:paraId="10EDBDBC" w14:textId="77777777" w:rsidR="00F712CB" w:rsidRDefault="00F7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05055"/>
    <w:multiLevelType w:val="hybridMultilevel"/>
    <w:tmpl w:val="0AC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5C0D3A"/>
    <w:multiLevelType w:val="hybridMultilevel"/>
    <w:tmpl w:val="539E4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D151338"/>
    <w:multiLevelType w:val="hybridMultilevel"/>
    <w:tmpl w:val="DC50648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3EF787D"/>
    <w:multiLevelType w:val="hybridMultilevel"/>
    <w:tmpl w:val="5A34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6C1814"/>
    <w:multiLevelType w:val="hybridMultilevel"/>
    <w:tmpl w:val="09F42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9685217">
    <w:abstractNumId w:val="0"/>
  </w:num>
  <w:num w:numId="2" w16cid:durableId="539054622">
    <w:abstractNumId w:val="4"/>
  </w:num>
  <w:num w:numId="3" w16cid:durableId="1955020081">
    <w:abstractNumId w:val="3"/>
  </w:num>
  <w:num w:numId="4" w16cid:durableId="108286467">
    <w:abstractNumId w:val="1"/>
  </w:num>
  <w:num w:numId="5" w16cid:durableId="1535312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6D"/>
    <w:rsid w:val="0001308B"/>
    <w:rsid w:val="000F116F"/>
    <w:rsid w:val="00113A16"/>
    <w:rsid w:val="00193E3C"/>
    <w:rsid w:val="00205ADD"/>
    <w:rsid w:val="00207442"/>
    <w:rsid w:val="00227C76"/>
    <w:rsid w:val="00230814"/>
    <w:rsid w:val="00291650"/>
    <w:rsid w:val="002927C2"/>
    <w:rsid w:val="002B7C7F"/>
    <w:rsid w:val="00345E96"/>
    <w:rsid w:val="00422EE9"/>
    <w:rsid w:val="00430CA2"/>
    <w:rsid w:val="00444FC2"/>
    <w:rsid w:val="0046719C"/>
    <w:rsid w:val="004C26EA"/>
    <w:rsid w:val="00581EE4"/>
    <w:rsid w:val="00584CA0"/>
    <w:rsid w:val="005903B9"/>
    <w:rsid w:val="00595EB8"/>
    <w:rsid w:val="005A3828"/>
    <w:rsid w:val="006515EF"/>
    <w:rsid w:val="00677FBB"/>
    <w:rsid w:val="006E6D5D"/>
    <w:rsid w:val="006F3833"/>
    <w:rsid w:val="00702714"/>
    <w:rsid w:val="00714D2F"/>
    <w:rsid w:val="00725BB2"/>
    <w:rsid w:val="00737F2E"/>
    <w:rsid w:val="00760680"/>
    <w:rsid w:val="007D064D"/>
    <w:rsid w:val="007E2EA7"/>
    <w:rsid w:val="007F4522"/>
    <w:rsid w:val="0082000E"/>
    <w:rsid w:val="0087458F"/>
    <w:rsid w:val="008B036D"/>
    <w:rsid w:val="008D2665"/>
    <w:rsid w:val="00950902"/>
    <w:rsid w:val="00A86B95"/>
    <w:rsid w:val="00AF4D2F"/>
    <w:rsid w:val="00B53D22"/>
    <w:rsid w:val="00B92014"/>
    <w:rsid w:val="00BB5EF1"/>
    <w:rsid w:val="00BC1DE6"/>
    <w:rsid w:val="00BE3865"/>
    <w:rsid w:val="00C00AD7"/>
    <w:rsid w:val="00C131BA"/>
    <w:rsid w:val="00C94D2E"/>
    <w:rsid w:val="00CD18C5"/>
    <w:rsid w:val="00CF72D6"/>
    <w:rsid w:val="00D40898"/>
    <w:rsid w:val="00DA0CA9"/>
    <w:rsid w:val="00DD1AA8"/>
    <w:rsid w:val="00EA16FB"/>
    <w:rsid w:val="00F12A64"/>
    <w:rsid w:val="00F53AE3"/>
    <w:rsid w:val="00F6104E"/>
    <w:rsid w:val="00F712CB"/>
    <w:rsid w:val="00FB010B"/>
    <w:rsid w:val="00FE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5AFDD"/>
  <w15:chartTrackingRefBased/>
  <w15:docId w15:val="{B43866EC-6EE7-478A-B081-7462F180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3A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6D"/>
  </w:style>
  <w:style w:type="paragraph" w:styleId="Footer">
    <w:name w:val="footer"/>
    <w:basedOn w:val="Normal"/>
    <w:link w:val="FooterChar"/>
    <w:uiPriority w:val="99"/>
    <w:unhideWhenUsed/>
    <w:rsid w:val="008B0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6D"/>
  </w:style>
  <w:style w:type="paragraph" w:customStyle="1" w:styleId="Default">
    <w:name w:val="Default"/>
    <w:rsid w:val="00B53D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53D22"/>
    <w:rPr>
      <w:color w:val="0563C1" w:themeColor="hyperlink"/>
      <w:u w:val="single"/>
    </w:rPr>
  </w:style>
  <w:style w:type="paragraph" w:styleId="ListParagraph">
    <w:name w:val="List Paragraph"/>
    <w:basedOn w:val="Normal"/>
    <w:uiPriority w:val="34"/>
    <w:qFormat/>
    <w:rsid w:val="00B53D22"/>
    <w:pPr>
      <w:spacing w:after="200" w:line="276" w:lineRule="auto"/>
      <w:ind w:left="720"/>
      <w:contextualSpacing/>
    </w:pPr>
  </w:style>
  <w:style w:type="paragraph" w:styleId="FootnoteText">
    <w:name w:val="footnote text"/>
    <w:basedOn w:val="Normal"/>
    <w:link w:val="FootnoteTextChar"/>
    <w:uiPriority w:val="99"/>
    <w:semiHidden/>
    <w:unhideWhenUsed/>
    <w:rsid w:val="002B7C7F"/>
    <w:pPr>
      <w:spacing w:after="0" w:line="240" w:lineRule="auto"/>
      <w:jc w:val="center"/>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2B7C7F"/>
    <w:rPr>
      <w:rFonts w:ascii="Arial" w:hAnsi="Arial" w:cs="Times New Roman"/>
      <w:sz w:val="20"/>
      <w:szCs w:val="20"/>
    </w:rPr>
  </w:style>
  <w:style w:type="character" w:styleId="FootnoteReference">
    <w:name w:val="footnote reference"/>
    <w:basedOn w:val="DefaultParagraphFont"/>
    <w:uiPriority w:val="99"/>
    <w:semiHidden/>
    <w:unhideWhenUsed/>
    <w:rsid w:val="002B7C7F"/>
    <w:rPr>
      <w:vertAlign w:val="superscript"/>
    </w:rPr>
  </w:style>
  <w:style w:type="character" w:customStyle="1" w:styleId="Heading1Char">
    <w:name w:val="Heading 1 Char"/>
    <w:basedOn w:val="DefaultParagraphFont"/>
    <w:link w:val="Heading1"/>
    <w:uiPriority w:val="9"/>
    <w:rsid w:val="002B7C7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3A16"/>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05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B7EAE-FACB-4A7E-865A-8A34873A1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Barkham Parish Council</cp:lastModifiedBy>
  <cp:revision>2</cp:revision>
  <cp:lastPrinted>2021-03-08T11:49:00Z</cp:lastPrinted>
  <dcterms:created xsi:type="dcterms:W3CDTF">2022-07-14T10:01:00Z</dcterms:created>
  <dcterms:modified xsi:type="dcterms:W3CDTF">2022-07-14T10:01:00Z</dcterms:modified>
</cp:coreProperties>
</file>